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Reading</w:t>
      </w:r>
      <w:r>
        <w:t xml:space="preserve"> </w:t>
      </w:r>
      <w:r>
        <w:t xml:space="preserve">and</w:t>
      </w:r>
      <w:r>
        <w:t xml:space="preserve"> </w:t>
      </w:r>
      <w:r>
        <w:t xml:space="preserve">writing</w:t>
      </w:r>
      <w:r>
        <w:t xml:space="preserve"> </w:t>
      </w:r>
      <w:r>
        <w:t xml:space="preserve">genomes</w:t>
      </w:r>
    </w:p>
    <w:p>
      <w:pPr>
        <w:pStyle w:val="Author"/>
      </w:pPr>
      <w:r>
        <w:t xml:space="preserve">Myles</w:t>
      </w:r>
      <w:r>
        <w:t xml:space="preserve"> </w:t>
      </w:r>
      <w:r>
        <w:t xml:space="preserve">Axton</w:t>
      </w:r>
    </w:p>
    <w:p>
      <w:pPr>
        <w:pStyle w:val="Author"/>
      </w:pPr>
      <w:r>
        <w:t xml:space="preserve">Alison</w:t>
      </w:r>
      <w:r>
        <w:t xml:space="preserve"> </w:t>
      </w:r>
      <w:r>
        <w:t xml:space="preserve">Liu</w:t>
      </w:r>
    </w:p>
    <w:p>
      <w:pPr>
        <w:pStyle w:val="FirstParagraph"/>
      </w:pPr>
      <w:r>
        <w:t xml:space="preserve">Research in genetics provides the basis for understanding the function</w:t>
      </w:r>
      <w:r>
        <w:t xml:space="preserve"> </w:t>
      </w:r>
      <w:r>
        <w:t xml:space="preserve">and evolution of all living things. The disciplines of reading and</w:t>
      </w:r>
      <w:r>
        <w:t xml:space="preserve"> </w:t>
      </w:r>
      <w:r>
        <w:t xml:space="preserve">writing genomes translate into sustainable economic development with the</w:t>
      </w:r>
      <w:r>
        <w:t xml:space="preserve"> </w:t>
      </w:r>
      <w:r>
        <w:t xml:space="preserve">rational global goals of food security, maternal and child health,</w:t>
      </w:r>
      <w:r>
        <w:t xml:space="preserve"> </w:t>
      </w:r>
      <w:r>
        <w:t xml:space="preserve">precision medicine, education and access to informatics technologies. We</w:t>
      </w:r>
      <w:r>
        <w:t xml:space="preserve"> </w:t>
      </w:r>
      <w:r>
        <w:t xml:space="preserve">believe that many publications in our field are motivated by these goals</w:t>
      </w:r>
      <w:r>
        <w:t xml:space="preserve"> </w:t>
      </w:r>
      <w:r>
        <w:t xml:space="preserve">and contain reusable modular elements that can be recombined both in</w:t>
      </w:r>
      <w:r>
        <w:t xml:space="preserve"> </w:t>
      </w:r>
      <w:r>
        <w:t xml:space="preserve">research and in its translation, to attain them. Open research entails</w:t>
      </w:r>
      <w:r>
        <w:t xml:space="preserve"> </w:t>
      </w:r>
      <w:r>
        <w:t xml:space="preserve">sharing not only the conclusions of science, but its materials,</w:t>
      </w:r>
      <w:r>
        <w:t xml:space="preserve"> </w:t>
      </w:r>
      <w:r>
        <w:t xml:space="preserve">provenance and gestation for the widest reuse by human and computational</w:t>
      </w:r>
      <w:r>
        <w:t xml:space="preserve"> </w:t>
      </w:r>
      <w:r>
        <w:t xml:space="preserve">users. This means that we and our readers deplore any hiding or</w:t>
      </w:r>
      <w:r>
        <w:t xml:space="preserve"> </w:t>
      </w:r>
      <w:r>
        <w:t xml:space="preserve">obscuring datasets or methods, and regret datasets in formally public</w:t>
      </w:r>
      <w:r>
        <w:t xml:space="preserve"> </w:t>
      </w:r>
      <w:r>
        <w:t xml:space="preserve">repositories that have very slow accession or transfer rates. However,</w:t>
      </w:r>
      <w:r>
        <w:t xml:space="preserve"> </w:t>
      </w:r>
      <w:r>
        <w:t xml:space="preserve">we will endeavor to work with all data producers who make contributions</w:t>
      </w:r>
      <w:r>
        <w:t xml:space="preserve"> </w:t>
      </w:r>
      <w:r>
        <w:t xml:space="preserve">in good faith to genetics and genomics research.</w:t>
      </w:r>
    </w:p>
    <w:p>
      <w:pPr>
        <w:pStyle w:val="BodyText"/>
      </w:pPr>
      <w:r>
        <w:br w:type="textWrapping"/>
      </w:r>
      <w:r>
        <w:rPr>
          <w:i/>
        </w:rPr>
        <w:t xml:space="preserve">Genetics &amp; Genomics Next</w:t>
      </w:r>
      <w:r>
        <w:t xml:space="preserve"> </w:t>
      </w:r>
      <w:r>
        <w:t xml:space="preserve">(</w:t>
      </w:r>
      <w:r>
        <w:rPr>
          <w:i/>
        </w:rPr>
        <w:t xml:space="preserve">GGN</w:t>
      </w:r>
      <w:r>
        <w:t xml:space="preserve"> </w:t>
      </w:r>
      <w:r>
        <w:t xml:space="preserve">) is an Open Research</w:t>
      </w:r>
      <w:r>
        <w:t xml:space="preserve"> </w:t>
      </w:r>
      <w:r>
        <w:t xml:space="preserve">journal from Wiley, published online using the CC-BY 4.0 open</w:t>
      </w:r>
      <w:r>
        <w:t xml:space="preserve"> </w:t>
      </w:r>
      <w:r>
        <w:t xml:space="preserve">attribution license to encourage maximum credit and rapid creative reuse</w:t>
      </w:r>
      <w:r>
        <w:t xml:space="preserve"> </w:t>
      </w:r>
      <w:r>
        <w:t xml:space="preserve">of all scholarly work. We are delighted to receive original research</w:t>
      </w:r>
      <w:r>
        <w:t xml:space="preserve"> </w:t>
      </w:r>
      <w:r>
        <w:t xml:space="preserve">Articles, Resources, Analysis, Technical Reports and Perspectives in the</w:t>
      </w:r>
      <w:r>
        <w:t xml:space="preserve"> </w:t>
      </w:r>
      <w:r>
        <w:t xml:space="preserve">areas of human, animal, plant and microbial genetics, genomics and</w:t>
      </w:r>
      <w:r>
        <w:t xml:space="preserve"> </w:t>
      </w:r>
      <w:r>
        <w:t xml:space="preserve">epigenomics, selecting those reports for peer review that we judge</w:t>
      </w:r>
      <w:r>
        <w:t xml:space="preserve"> </w:t>
      </w:r>
      <w:r>
        <w:t xml:space="preserve">editorially to have the highest research utility, ethical standards and</w:t>
      </w:r>
      <w:r>
        <w:t xml:space="preserve"> </w:t>
      </w:r>
      <w:r>
        <w:t xml:space="preserve">societal impact. As professional, full-time editors at Wiley, we take</w:t>
      </w:r>
      <w:r>
        <w:t xml:space="preserve"> </w:t>
      </w:r>
      <w:r>
        <w:t xml:space="preserve">responsibility for all manuscript decisions and peer reviewer</w:t>
      </w:r>
      <w:r>
        <w:t xml:space="preserve"> </w:t>
      </w:r>
      <w:r>
        <w:t xml:space="preserve">assignment. Our Advisory Board Members have a complementary role to</w:t>
      </w:r>
      <w:r>
        <w:t xml:space="preserve"> </w:t>
      </w:r>
      <w:r>
        <w:t xml:space="preserve">guide</w:t>
      </w:r>
      <w:r>
        <w:t xml:space="preserve"> </w:t>
      </w:r>
      <w:r>
        <w:rPr>
          <w:i/>
        </w:rPr>
        <w:t xml:space="preserve">GGN’s</w:t>
      </w:r>
      <w:r>
        <w:t xml:space="preserve"> </w:t>
      </w:r>
      <w:r>
        <w:t xml:space="preserve">mission as they see fit, anticipating the evolution</w:t>
      </w:r>
      <w:r>
        <w:t xml:space="preserve"> </w:t>
      </w:r>
      <w:r>
        <w:t xml:space="preserve">of research and standards in our field, and, with us, providing</w:t>
      </w:r>
      <w:r>
        <w:t xml:space="preserve"> </w:t>
      </w:r>
      <w:r>
        <w:t xml:space="preserve">leadership in promoting excellence in open research. Unlike Editorial</w:t>
      </w:r>
      <w:r>
        <w:t xml:space="preserve"> </w:t>
      </w:r>
      <w:r>
        <w:t xml:space="preserve">Board members at some journals,</w:t>
      </w:r>
      <w:r>
        <w:t xml:space="preserve"> </w:t>
      </w:r>
      <w:r>
        <w:rPr>
          <w:i/>
        </w:rPr>
        <w:t xml:space="preserve">GGN</w:t>
      </w:r>
      <w:r>
        <w:t xml:space="preserve"> </w:t>
      </w:r>
      <w:r>
        <w:t xml:space="preserve">advisors are our mentors, not</w:t>
      </w:r>
      <w:r>
        <w:t xml:space="preserve"> </w:t>
      </w:r>
      <w:r>
        <w:t xml:space="preserve">manuscript editors. We welcome their commitment to the journal for as</w:t>
      </w:r>
      <w:r>
        <w:t xml:space="preserve"> </w:t>
      </w:r>
      <w:r>
        <w:t xml:space="preserve">long as they wish, and advisors may leave or rejoin the board at will.</w:t>
      </w:r>
    </w:p>
    <w:p>
      <w:pPr>
        <w:pStyle w:val="BodyText"/>
      </w:pPr>
      <w:r>
        <w:br w:type="textWrapping"/>
      </w:r>
      <w:r>
        <w:t xml:space="preserve">Since we offer an online journal, we are happy to consider reports in</w:t>
      </w:r>
      <w:r>
        <w:t xml:space="preserve"> </w:t>
      </w:r>
      <w:r>
        <w:t xml:space="preserve">any format for peer review, provided they would not burden referees with</w:t>
      </w:r>
      <w:r>
        <w:t xml:space="preserve"> </w:t>
      </w:r>
      <w:r>
        <w:t xml:space="preserve">their unusual length or complexity. We also welcome pre-submission</w:t>
      </w:r>
      <w:r>
        <w:t xml:space="preserve"> </w:t>
      </w:r>
      <w:r>
        <w:t xml:space="preserve">enquiries via our online database</w:t>
      </w:r>
      <w:r>
        <w:t xml:space="preserve"> </w:t>
      </w:r>
      <w:r>
        <w:t xml:space="preserve">(</w:t>
      </w:r>
      <w:hyperlink r:id="rId21">
        <w:r>
          <w:rPr>
            <w:rStyle w:val="Hyperlink"/>
          </w:rPr>
          <w:t xml:space="preserve">https://mc.manuscriptcentral.com/ggn</w:t>
        </w:r>
      </w:hyperlink>
      <w:r>
        <w:t xml:space="preserve">). Author and dataset</w:t>
      </w:r>
      <w:r>
        <w:t xml:space="preserve"> </w:t>
      </w:r>
      <w:r>
        <w:t xml:space="preserve">contributions and consortium roles can be described via the CRediT</w:t>
      </w:r>
      <w:r>
        <w:t xml:space="preserve"> </w:t>
      </w:r>
      <w:r>
        <w:t xml:space="preserve">contributor taxonomy (</w:t>
      </w:r>
      <w:hyperlink r:id="rId22">
        <w:r>
          <w:rPr>
            <w:rStyle w:val="Hyperlink"/>
          </w:rPr>
          <w:t xml:space="preserve">https://www.casrai.org/credit.html</w:t>
        </w:r>
      </w:hyperlink>
      <w:r>
        <w:t xml:space="preserve">). We</w:t>
      </w:r>
      <w:r>
        <w:t xml:space="preserve"> </w:t>
      </w:r>
      <w:r>
        <w:t xml:space="preserve">support a range of community standards and databases and the</w:t>
      </w:r>
      <w:r>
        <w:t xml:space="preserve"> </w:t>
      </w:r>
      <w:r>
        <w:t xml:space="preserve">FAIRSharing </w:t>
      </w:r>
      <w:r>
        <w:rPr>
          <w:vertAlign w:val="superscript"/>
        </w:rPr>
        <w:t xml:space="preserve">[1]</w:t>
      </w:r>
      <w:r>
        <w:t xml:space="preserve"> </w:t>
      </w:r>
      <w:r>
        <w:t xml:space="preserve">community standards site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https://fairsharing.org</w:t>
        </w:r>
      </w:hyperlink>
      <w:r>
        <w:t xml:space="preserve">) for best practices and semantic</w:t>
      </w:r>
      <w:r>
        <w:t xml:space="preserve"> </w:t>
      </w:r>
      <w:r>
        <w:t xml:space="preserve">precision. The journal endorses the FAIR</w:t>
      </w:r>
      <w:r>
        <w:t xml:space="preserve"> </w:t>
      </w:r>
      <w:r>
        <w:rPr>
          <w:vertAlign w:val="superscript"/>
        </w:rPr>
        <w:t xml:space="preserve">[2]</w:t>
      </w:r>
      <w:r>
        <w:t xml:space="preserve"> </w:t>
      </w:r>
      <w:r>
        <w:t xml:space="preserve">data</w:t>
      </w:r>
      <w:r>
        <w:t xml:space="preserve"> </w:t>
      </w:r>
      <w:r>
        <w:t xml:space="preserve">principles  (</w:t>
      </w:r>
      <w:hyperlink r:id="rId24">
        <w:r>
          <w:rPr>
            <w:rStyle w:val="Hyperlink"/>
          </w:rPr>
          <w:t xml:space="preserve">https://www.go-fair.org/fair-principles/</w:t>
        </w:r>
      </w:hyperlink>
      <w:r>
        <w:t xml:space="preserve">) and we</w:t>
      </w:r>
      <w:r>
        <w:t xml:space="preserve"> </w:t>
      </w:r>
      <w:r>
        <w:t xml:space="preserve">recommend database submission of datasets and workflows to replace most</w:t>
      </w:r>
      <w:r>
        <w:t xml:space="preserve"> </w:t>
      </w:r>
      <w:r>
        <w:t xml:space="preserve">of the prior use cases for Supplementary Information.</w:t>
      </w:r>
    </w:p>
    <w:p>
      <w:pPr>
        <w:pStyle w:val="BodyText"/>
      </w:pPr>
      <w:r>
        <w:br w:type="textWrapping"/>
      </w:r>
      <w:r>
        <w:t xml:space="preserve">Research Articles should offer a new and substantial conceptual advance</w:t>
      </w:r>
      <w:r>
        <w:t xml:space="preserve"> </w:t>
      </w:r>
      <w:r>
        <w:t xml:space="preserve">based on original experimental research and data, whereas Technical</w:t>
      </w:r>
      <w:r>
        <w:t xml:space="preserve"> </w:t>
      </w:r>
      <w:r>
        <w:t xml:space="preserve">Reports need only detail a useful new method. Perspectives are</w:t>
      </w:r>
      <w:r>
        <w:t xml:space="preserve"> </w:t>
      </w:r>
      <w:r>
        <w:t xml:space="preserve">literature reviews that set standards or propose future strategies in</w:t>
      </w:r>
      <w:r>
        <w:t xml:space="preserve"> </w:t>
      </w:r>
      <w:r>
        <w:t xml:space="preserve">our field. Analysis articles offer opportunity to generate and test new</w:t>
      </w:r>
      <w:r>
        <w:t xml:space="preserve"> </w:t>
      </w:r>
      <w:r>
        <w:t xml:space="preserve">hypotheses by interoperating or reusing existing datasets with new</w:t>
      </w:r>
      <w:r>
        <w:t xml:space="preserve"> </w:t>
      </w:r>
      <w:r>
        <w:t xml:space="preserve">workflows. Resources provide provenance and curation of new datasets</w:t>
      </w:r>
      <w:r>
        <w:t xml:space="preserve"> </w:t>
      </w:r>
      <w:r>
        <w:t xml:space="preserve">that will be of use to the community. If submissions are outside the</w:t>
      </w:r>
      <w:r>
        <w:t xml:space="preserve"> </w:t>
      </w:r>
      <w:r>
        <w:t xml:space="preserve">scope of the journal or if editors consider them premature with respect</w:t>
      </w:r>
      <w:r>
        <w:t xml:space="preserve"> </w:t>
      </w:r>
      <w:r>
        <w:t xml:space="preserve">to their field, we will make customized recommendation for appropriate</w:t>
      </w:r>
      <w:r>
        <w:t xml:space="preserve"> </w:t>
      </w:r>
      <w:r>
        <w:t xml:space="preserve">Wiley journals that would peer review the work or suggest revisions that</w:t>
      </w:r>
      <w:r>
        <w:t xml:space="preserve"> </w:t>
      </w:r>
      <w:r>
        <w:t xml:space="preserve">would typically qualify the work for peer review.</w:t>
      </w:r>
    </w:p>
    <w:p>
      <w:pPr>
        <w:pStyle w:val="BodyText"/>
      </w:pPr>
      <w:r>
        <w:br w:type="textWrapping"/>
      </w:r>
      <w:r>
        <w:t xml:space="preserve">Enabling the market for genomics-based ideas needs generosity with rich</w:t>
      </w:r>
      <w:r>
        <w:t xml:space="preserve"> </w:t>
      </w:r>
      <w:r>
        <w:t xml:space="preserve">metadata and careful attention to semantic precision, as well as a</w:t>
      </w:r>
      <w:r>
        <w:t xml:space="preserve"> </w:t>
      </w:r>
      <w:r>
        <w:t xml:space="preserve">sensitive understanding of the legal, ethical and economic underpinning</w:t>
      </w:r>
      <w:r>
        <w:t xml:space="preserve"> </w:t>
      </w:r>
      <w:r>
        <w:t xml:space="preserve">of resources based in the code and the families of living people. For an</w:t>
      </w:r>
      <w:r>
        <w:t xml:space="preserve"> </w:t>
      </w:r>
      <w:r>
        <w:t xml:space="preserve">editor, this means having patience in the face of the many exceptions to</w:t>
      </w:r>
      <w:r>
        <w:t xml:space="preserve"> </w:t>
      </w:r>
      <w:r>
        <w:t xml:space="preserve">the ideal of publicly funded, universal research access to all human,</w:t>
      </w:r>
      <w:r>
        <w:t xml:space="preserve"> </w:t>
      </w:r>
      <w:r>
        <w:t xml:space="preserve">animal and plant genomes and their associated traits and measurements.</w:t>
      </w:r>
      <w:r>
        <w:t xml:space="preserve"> </w:t>
      </w:r>
      <w:r>
        <w:t xml:space="preserve">The resource-benefit balance is ever-present, and legal and ethics</w:t>
      </w:r>
      <w:r>
        <w:t xml:space="preserve"> </w:t>
      </w:r>
      <w:r>
        <w:t xml:space="preserve">frameworks of genetic research evolve slowly in the legacy of past</w:t>
      </w:r>
      <w:r>
        <w:t xml:space="preserve"> </w:t>
      </w:r>
      <w:r>
        <w:t xml:space="preserve">abuses of concepts of heredity. It is therefore essential that we</w:t>
      </w:r>
      <w:r>
        <w:t xml:space="preserve"> </w:t>
      </w:r>
      <w:r>
        <w:t xml:space="preserve">recognize those data license conditions that aim to preserve</w:t>
      </w:r>
      <w:r>
        <w:t xml:space="preserve"> </w:t>
      </w:r>
      <w:r>
        <w:t xml:space="preserve">participation of research subjects, build local resources and capacity</w:t>
      </w:r>
      <w:r>
        <w:t xml:space="preserve"> </w:t>
      </w:r>
      <w:r>
        <w:t xml:space="preserve">and return benefits to the societies that initiated the studies. So,</w:t>
      </w:r>
      <w:r>
        <w:t xml:space="preserve"> </w:t>
      </w:r>
      <w:r>
        <w:t xml:space="preserve">when genetics advances only on the terms of a commercial animal breeder</w:t>
      </w:r>
      <w:r>
        <w:t xml:space="preserve"> </w:t>
      </w:r>
      <w:r>
        <w:t xml:space="preserve">or a security-conscious government, the conclusions and resources</w:t>
      </w:r>
      <w:r>
        <w:t xml:space="preserve"> </w:t>
      </w:r>
      <w:r>
        <w:t xml:space="preserve">offered in the publication need to be maximized for reuse without</w:t>
      </w:r>
      <w:r>
        <w:t xml:space="preserve"> </w:t>
      </w:r>
      <w:r>
        <w:t xml:space="preserve">derailing the sustainable long-term commitment of those producers to</w:t>
      </w:r>
      <w:r>
        <w:t xml:space="preserve"> </w:t>
      </w:r>
      <w:r>
        <w:t xml:space="preserve">make their results available. Even in the sphere of publicly funded data</w:t>
      </w:r>
      <w:r>
        <w:t xml:space="preserve"> </w:t>
      </w:r>
      <w:r>
        <w:t xml:space="preserve">resources in developed countries, it may be networks of excellence</w:t>
      </w:r>
      <w:r>
        <w:t xml:space="preserve"> </w:t>
      </w:r>
      <w:r>
        <w:t xml:space="preserve">(consortia) spanning continents, institutions and generations of diverse</w:t>
      </w:r>
      <w:r>
        <w:t xml:space="preserve"> </w:t>
      </w:r>
      <w:r>
        <w:t xml:space="preserve">funding sources that are the guarantors of the security of the research</w:t>
      </w:r>
      <w:r>
        <w:t xml:space="preserve"> </w:t>
      </w:r>
      <w:r>
        <w:t xml:space="preserve">subjects’ data and the translational success of the research. Publishers</w:t>
      </w:r>
      <w:r>
        <w:t xml:space="preserve"> </w:t>
      </w:r>
      <w:r>
        <w:t xml:space="preserve">looking for a highly cited paper - or data reusers looking to test their</w:t>
      </w:r>
      <w:r>
        <w:t xml:space="preserve"> </w:t>
      </w:r>
      <w:r>
        <w:t xml:space="preserve">new algorithm - need to see where they fit in, and lobby for greater</w:t>
      </w:r>
      <w:r>
        <w:t xml:space="preserve"> </w:t>
      </w:r>
      <w:r>
        <w:t xml:space="preserve">FAIRness from well-funded data generators. Proof of the reuse and</w:t>
      </w:r>
      <w:r>
        <w:t xml:space="preserve"> </w:t>
      </w:r>
      <w:r>
        <w:t xml:space="preserve">interoperability of open research rests with the data users, so data</w:t>
      </w:r>
      <w:r>
        <w:t xml:space="preserve"> </w:t>
      </w:r>
      <w:r>
        <w:t xml:space="preserve">providers need to enable and encourage their work.</w:t>
      </w:r>
    </w:p>
    <w:p>
      <w:pPr>
        <w:pStyle w:val="Heading2"/>
      </w:pPr>
      <w:bookmarkStart w:id="25" w:name="section"/>
      <w:bookmarkEnd w:id="25"/>
    </w:p>
    <w:p>
      <w:pPr>
        <w:pStyle w:val="Heading2"/>
      </w:pPr>
      <w:bookmarkStart w:id="26" w:name="author-orcids"/>
      <w:bookmarkEnd w:id="26"/>
      <w:r>
        <w:t xml:space="preserve">Author ORCiDs</w:t>
      </w:r>
    </w:p>
    <w:p>
      <w:pPr>
        <w:pStyle w:val="FirstParagraph"/>
      </w:pPr>
      <w:r>
        <w:t xml:space="preserve">Myles</w:t>
      </w:r>
      <w:r>
        <w:t xml:space="preserve"> </w:t>
      </w:r>
      <w:r>
        <w:t xml:space="preserve">Axton</w:t>
      </w:r>
      <w:hyperlink r:id="rId27">
        <w:r>
          <w:rPr>
            <w:rStyle w:val="Hyperlink"/>
          </w:rPr>
          <w:t xml:space="preserve">https://orcid.org/0000-0002-8042-4131</w:t>
        </w:r>
      </w:hyperlink>
    </w:p>
    <w:p>
      <w:pPr>
        <w:pStyle w:val="BodyText"/>
      </w:pPr>
      <w:r>
        <w:t xml:space="preserve">Alison Liu</w:t>
      </w:r>
      <w:r>
        <w:t xml:space="preserve"> </w:t>
      </w:r>
      <w:hyperlink r:id="rId28">
        <w:r>
          <w:rPr>
            <w:rStyle w:val="Hyperlink"/>
          </w:rPr>
          <w:t xml:space="preserve">https://orcid.org/0000-0003-0171-6441</w:t>
        </w:r>
      </w:hyperlink>
    </w:p>
    <w:p>
      <w:pPr>
        <w:pStyle w:val="BodyText"/>
      </w:pPr>
      <w:r>
        <w:br w:type="textWrapping"/>
      </w:r>
    </w:p>
    <w:p>
      <w:pPr>
        <w:pStyle w:val="Heading1"/>
      </w:pPr>
      <w:bookmarkStart w:id="29" w:name="references"/>
      <w:bookmarkEnd w:id="29"/>
      <w:r>
        <w:t xml:space="preserve">References</w:t>
      </w:r>
    </w:p>
    <w:p>
      <w:pPr>
        <w:pStyle w:val="FirstParagraph"/>
      </w:pPr>
      <w:r>
        <w:t xml:space="preserve">1. Sansone S-A, Peter McQuilton and, Rocca-Serra P, Gonzalez-Beltran A, Izzo M, Lister AL, et al.</w:t>
      </w:r>
      <w:r>
        <w:t xml:space="preserve"> </w:t>
      </w:r>
      <w:r>
        <w:t xml:space="preserve">FAIRsharing</w:t>
      </w:r>
      <w:r>
        <w:t xml:space="preserve"> </w:t>
      </w:r>
      <w:r>
        <w:t xml:space="preserve">as a community approach to standards repositories and policies</w:t>
      </w:r>
      <w:r>
        <w:t xml:space="preserve">. Nature Biotechnology [Internet] 2019;37(4):358–67. Available from:</w:t>
      </w:r>
      <w:r>
        <w:t xml:space="preserve"> </w:t>
      </w:r>
      <w:hyperlink r:id="rId30">
        <w:r>
          <w:rPr>
            <w:rStyle w:val="Hyperlink"/>
          </w:rPr>
          <w:t xml:space="preserve">https://doi.org/10.1038%2Fs41587-019-0080-8</w:t>
        </w:r>
      </w:hyperlink>
    </w:p>
    <w:p>
      <w:pPr>
        <w:pStyle w:val="BodyText"/>
      </w:pPr>
      <w:r>
        <w:t xml:space="preserve">2. Wilkinson MD, Dumontier M, Aalbersberg IJJ, Appleton G, Axton M, Baak A, et al.</w:t>
      </w:r>
      <w:r>
        <w:t xml:space="preserve"> </w:t>
      </w:r>
      <w:r>
        <w:t xml:space="preserve">The</w:t>
      </w:r>
      <w:r>
        <w:t xml:space="preserve"> </w:t>
      </w:r>
      <w:r>
        <w:t xml:space="preserve">FAIR</w:t>
      </w:r>
      <w:r>
        <w:t xml:space="preserve"> </w:t>
      </w:r>
      <w:r>
        <w:t xml:space="preserve">Guiding Principles for scientific data management and stewardship</w:t>
      </w:r>
      <w:r>
        <w:t xml:space="preserve">. Scientific Data [Internet] 2016;3:160018. Available from:</w:t>
      </w:r>
      <w:r>
        <w:t xml:space="preserve"> </w:t>
      </w:r>
      <w:hyperlink r:id="rId31">
        <w:r>
          <w:rPr>
            <w:rStyle w:val="Hyperlink"/>
          </w:rPr>
          <w:t xml:space="preserve">https://doi.org/10.1038%2Fsdata.2016.18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c4eb4e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://%20https://orcid.org/0000-0002-8042-4131" TargetMode="External" /><Relationship Type="http://schemas.openxmlformats.org/officeDocument/2006/relationships/hyperlink" Id="rId30" Target="https://doi.org/10.1038%2Fs41587-019-0080-8" TargetMode="External" /><Relationship Type="http://schemas.openxmlformats.org/officeDocument/2006/relationships/hyperlink" Id="rId31" Target="https://doi.org/10.1038%2Fsdata.2016.18" TargetMode="External" /><Relationship Type="http://schemas.openxmlformats.org/officeDocument/2006/relationships/hyperlink" Id="rId23" Target="https://fairsharing.org" TargetMode="External" /><Relationship Type="http://schemas.openxmlformats.org/officeDocument/2006/relationships/hyperlink" Id="rId21" Target="https://mc.manuscriptcentral.com/ggn" TargetMode="External" /><Relationship Type="http://schemas.openxmlformats.org/officeDocument/2006/relationships/hyperlink" Id="rId28" Target="https://orcid.org/0000-0003-0171-6441" TargetMode="External" /><Relationship Type="http://schemas.openxmlformats.org/officeDocument/2006/relationships/hyperlink" Id="rId22" Target="https://www.casrai.org/credit.html" TargetMode="External" /><Relationship Type="http://schemas.openxmlformats.org/officeDocument/2006/relationships/hyperlink" Id="rId24" Target="https://www.go-fair.org/fair-principle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%20https://orcid.org/0000-0002-8042-4131" TargetMode="External" /><Relationship Type="http://schemas.openxmlformats.org/officeDocument/2006/relationships/hyperlink" Id="rId30" Target="https://doi.org/10.1038%2Fs41587-019-0080-8" TargetMode="External" /><Relationship Type="http://schemas.openxmlformats.org/officeDocument/2006/relationships/hyperlink" Id="rId31" Target="https://doi.org/10.1038%2Fsdata.2016.18" TargetMode="External" /><Relationship Type="http://schemas.openxmlformats.org/officeDocument/2006/relationships/hyperlink" Id="rId23" Target="https://fairsharing.org" TargetMode="External" /><Relationship Type="http://schemas.openxmlformats.org/officeDocument/2006/relationships/hyperlink" Id="rId21" Target="https://mc.manuscriptcentral.com/ggn" TargetMode="External" /><Relationship Type="http://schemas.openxmlformats.org/officeDocument/2006/relationships/hyperlink" Id="rId28" Target="https://orcid.org/0000-0003-0171-6441" TargetMode="External" /><Relationship Type="http://schemas.openxmlformats.org/officeDocument/2006/relationships/hyperlink" Id="rId22" Target="https://www.casrai.org/credit.html" TargetMode="External" /><Relationship Type="http://schemas.openxmlformats.org/officeDocument/2006/relationships/hyperlink" Id="rId24" Target="https://www.go-fair.org/fair-principl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writing genomes</dc:title>
  <dc:creator>Myles Axton; Alison Liu</dc:creator>
  <dcterms:created xsi:type="dcterms:W3CDTF">2019-05-16T15:56:22Z</dcterms:created>
  <dcterms:modified xsi:type="dcterms:W3CDTF">2019-05-16T15:56:22Z</dcterms:modified>
</cp:coreProperties>
</file>